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8" w:type="dxa"/>
        <w:tblLook w:val="04A0" w:firstRow="1" w:lastRow="0" w:firstColumn="1" w:lastColumn="0" w:noHBand="0" w:noVBand="1"/>
      </w:tblPr>
      <w:tblGrid>
        <w:gridCol w:w="1908"/>
        <w:gridCol w:w="2700"/>
        <w:gridCol w:w="3240"/>
        <w:gridCol w:w="3320"/>
      </w:tblGrid>
      <w:tr w:rsidR="001C4B38" w:rsidRPr="001C4B38" w14:paraId="4E0AC5F6" w14:textId="77777777" w:rsidTr="001C4B38">
        <w:trPr>
          <w:trHeight w:val="437"/>
        </w:trPr>
        <w:tc>
          <w:tcPr>
            <w:tcW w:w="1908" w:type="dxa"/>
          </w:tcPr>
          <w:p w14:paraId="0C6705F5" w14:textId="3527BF94" w:rsidR="001C4B38" w:rsidRP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LITERARY TERM</w:t>
            </w:r>
            <w:r w:rsidR="00197095">
              <w:rPr>
                <w:rFonts w:ascii="Garamond" w:hAnsi="Garamond"/>
                <w:b/>
                <w:sz w:val="22"/>
                <w:szCs w:val="22"/>
              </w:rPr>
              <w:t>/Element of Drama</w:t>
            </w:r>
          </w:p>
        </w:tc>
        <w:tc>
          <w:tcPr>
            <w:tcW w:w="2700" w:type="dxa"/>
          </w:tcPr>
          <w:p w14:paraId="675C4A9D" w14:textId="77777777" w:rsidR="001C4B38" w:rsidRP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DEFINITION</w:t>
            </w:r>
          </w:p>
        </w:tc>
        <w:tc>
          <w:tcPr>
            <w:tcW w:w="3240" w:type="dxa"/>
          </w:tcPr>
          <w:p w14:paraId="1546012C" w14:textId="77777777" w:rsid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EXAMPLE FROM TEXT</w:t>
            </w:r>
          </w:p>
          <w:p w14:paraId="5AA7553B" w14:textId="15963B44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Based on “The Monsters are Due on Maple Street”</w:t>
            </w:r>
          </w:p>
        </w:tc>
        <w:tc>
          <w:tcPr>
            <w:tcW w:w="3320" w:type="dxa"/>
          </w:tcPr>
          <w:p w14:paraId="3F6C5EF1" w14:textId="77777777" w:rsid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EXAMPLE FROM TEXT</w:t>
            </w:r>
          </w:p>
          <w:p w14:paraId="435588F2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From “A Christmas Carol”</w:t>
            </w:r>
          </w:p>
          <w:p w14:paraId="607D9D5C" w14:textId="43738ED2" w:rsidR="00AD0842" w:rsidRPr="001C4B38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As you read, fill in examples. </w:t>
            </w:r>
          </w:p>
        </w:tc>
      </w:tr>
      <w:tr w:rsidR="001C4B38" w:rsidRPr="001C4B38" w14:paraId="39BF83AA" w14:textId="77777777" w:rsidTr="001C4B38">
        <w:trPr>
          <w:trHeight w:val="437"/>
        </w:trPr>
        <w:tc>
          <w:tcPr>
            <w:tcW w:w="1908" w:type="dxa"/>
          </w:tcPr>
          <w:p w14:paraId="0E594BA8" w14:textId="77777777" w:rsidR="001C4B38" w:rsidRP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Character</w:t>
            </w:r>
          </w:p>
        </w:tc>
        <w:tc>
          <w:tcPr>
            <w:tcW w:w="2700" w:type="dxa"/>
          </w:tcPr>
          <w:p w14:paraId="12B824FB" w14:textId="77777777" w:rsidR="001C4B38" w:rsidRP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A person, animal, or thing in a work of literature. </w:t>
            </w:r>
          </w:p>
        </w:tc>
        <w:tc>
          <w:tcPr>
            <w:tcW w:w="3240" w:type="dxa"/>
          </w:tcPr>
          <w:p w14:paraId="00172068" w14:textId="1496CA89" w:rsidR="001C4B38" w:rsidRPr="00757D77" w:rsidRDefault="00757D77" w:rsidP="00757D77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757D77">
              <w:rPr>
                <w:rFonts w:ascii="Garamond" w:hAnsi="Garamond"/>
                <w:b/>
                <w:sz w:val="22"/>
                <w:szCs w:val="22"/>
              </w:rPr>
              <w:t>Charlie’s wife (Serling 667)</w:t>
            </w:r>
          </w:p>
          <w:p w14:paraId="3D6F6675" w14:textId="1C709D85" w:rsidR="00757D77" w:rsidRPr="00757D77" w:rsidRDefault="00757D77" w:rsidP="00757D77">
            <w:pPr>
              <w:pStyle w:val="ListParagrap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From the character list</w:t>
            </w:r>
          </w:p>
        </w:tc>
        <w:tc>
          <w:tcPr>
            <w:tcW w:w="3320" w:type="dxa"/>
          </w:tcPr>
          <w:p w14:paraId="0D4C47F2" w14:textId="77777777" w:rsidR="001C4B38" w:rsidRP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270BFD8" w14:textId="77777777" w:rsidR="001C4B38" w:rsidRP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A7C8C65" w14:textId="77777777" w:rsid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722F11C" w14:textId="77777777" w:rsidR="001C4B38" w:rsidRP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28880BC" w14:textId="77777777" w:rsidR="001C4B38" w:rsidRP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C4B38" w:rsidRPr="001C4B38" w14:paraId="0E907E69" w14:textId="77777777" w:rsidTr="001C4B38">
        <w:trPr>
          <w:trHeight w:val="437"/>
        </w:trPr>
        <w:tc>
          <w:tcPr>
            <w:tcW w:w="1908" w:type="dxa"/>
          </w:tcPr>
          <w:p w14:paraId="032AE2A9" w14:textId="09F635CC" w:rsidR="001C4B38" w:rsidRP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Costuming</w:t>
            </w:r>
          </w:p>
        </w:tc>
        <w:tc>
          <w:tcPr>
            <w:tcW w:w="2700" w:type="dxa"/>
          </w:tcPr>
          <w:p w14:paraId="1F460EF7" w14:textId="77777777" w:rsidR="001C4B38" w:rsidRP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Clothing used to create a character’s wardrobe. Costuming usually fits the personality of the character</w:t>
            </w:r>
          </w:p>
        </w:tc>
        <w:tc>
          <w:tcPr>
            <w:tcW w:w="3240" w:type="dxa"/>
          </w:tcPr>
          <w:p w14:paraId="255A03C1" w14:textId="2FA7E386" w:rsidR="00757D77" w:rsidRPr="00757D77" w:rsidRDefault="00757D77" w:rsidP="00757D77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757D77">
              <w:rPr>
                <w:rFonts w:ascii="Garamond" w:hAnsi="Garamond"/>
                <w:b/>
                <w:sz w:val="22"/>
                <w:szCs w:val="22"/>
              </w:rPr>
              <w:t>“…. A serious-faced 14-year old in spectacles…” (Serling 670)</w:t>
            </w:r>
          </w:p>
          <w:p w14:paraId="0152CC4E" w14:textId="77777777" w:rsidR="00197095" w:rsidRPr="00197095" w:rsidRDefault="00757D77" w:rsidP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97095">
              <w:rPr>
                <w:rFonts w:ascii="Garamond" w:hAnsi="Garamond"/>
                <w:b/>
                <w:sz w:val="22"/>
                <w:szCs w:val="22"/>
              </w:rPr>
              <w:t>Tommy wears glasses</w:t>
            </w:r>
          </w:p>
          <w:p w14:paraId="6F357150" w14:textId="77777777" w:rsidR="00197095" w:rsidRPr="00757D77" w:rsidRDefault="00197095" w:rsidP="0019709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757D77">
              <w:rPr>
                <w:rFonts w:ascii="Garamond" w:hAnsi="Garamond"/>
                <w:b/>
                <w:sz w:val="22"/>
                <w:szCs w:val="22"/>
              </w:rPr>
              <w:t xml:space="preserve">Charlie’s wife is wearing an apron in the movie version, showing that she could be doing her “job” of stay-at-home mom. </w:t>
            </w:r>
          </w:p>
          <w:p w14:paraId="7048EE77" w14:textId="77777777" w:rsidR="00197095" w:rsidRDefault="00197095" w:rsidP="0019709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(Twilight Zone the Movie)</w:t>
            </w:r>
          </w:p>
          <w:p w14:paraId="76163392" w14:textId="77777777" w:rsidR="00197095" w:rsidRPr="004B443B" w:rsidRDefault="00197095" w:rsidP="0019709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4B443B">
              <w:rPr>
                <w:rFonts w:ascii="Garamond" w:hAnsi="Garamond"/>
                <w:b/>
                <w:sz w:val="22"/>
                <w:szCs w:val="22"/>
              </w:rPr>
              <w:t xml:space="preserve">Pete Van Horn was wearing overalls showing that he was just tinkering around the house.  </w:t>
            </w:r>
          </w:p>
          <w:p w14:paraId="4CC55835" w14:textId="77777777" w:rsidR="00197095" w:rsidRDefault="00197095" w:rsidP="0019709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(Twilight Zone the Movie)</w:t>
            </w:r>
          </w:p>
          <w:p w14:paraId="5DB8DB98" w14:textId="6074783C" w:rsidR="001C4B38" w:rsidRPr="00757D77" w:rsidRDefault="00757D77" w:rsidP="00757D77">
            <w:pPr>
              <w:pStyle w:val="ListParagraph"/>
              <w:rPr>
                <w:rFonts w:ascii="Garamond" w:hAnsi="Garamond"/>
                <w:b/>
                <w:sz w:val="22"/>
                <w:szCs w:val="22"/>
              </w:rPr>
            </w:pPr>
            <w:r w:rsidRPr="00757D77">
              <w:rPr>
                <w:rFonts w:ascii="Garamond" w:hAnsi="Garamond"/>
                <w:b/>
                <w:sz w:val="22"/>
                <w:szCs w:val="22"/>
              </w:rPr>
              <w:br/>
            </w:r>
          </w:p>
        </w:tc>
        <w:tc>
          <w:tcPr>
            <w:tcW w:w="3320" w:type="dxa"/>
          </w:tcPr>
          <w:p w14:paraId="57E0F721" w14:textId="77777777" w:rsidR="004B443B" w:rsidRDefault="004B443B" w:rsidP="00757D77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C8E1386" w14:textId="77777777" w:rsidR="004B443B" w:rsidRPr="004B443B" w:rsidRDefault="004B443B" w:rsidP="004B443B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73AAFCB" w14:textId="77777777" w:rsidR="001C4B38" w:rsidRP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176C900" w14:textId="77777777" w:rsid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509DF11" w14:textId="77777777" w:rsidR="001C4B38" w:rsidRP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6BF4F65" w14:textId="77777777" w:rsidR="001C4B38" w:rsidRP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4557C5A" w14:textId="77777777" w:rsidR="001C4B38" w:rsidRP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C4B38" w:rsidRPr="001C4B38" w14:paraId="6E34E2DC" w14:textId="77777777" w:rsidTr="001C4B38">
        <w:trPr>
          <w:trHeight w:val="437"/>
        </w:trPr>
        <w:tc>
          <w:tcPr>
            <w:tcW w:w="1908" w:type="dxa"/>
          </w:tcPr>
          <w:p w14:paraId="584E4368" w14:textId="418FBDB1" w:rsidR="001C4B38" w:rsidRP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Props</w:t>
            </w:r>
          </w:p>
        </w:tc>
        <w:tc>
          <w:tcPr>
            <w:tcW w:w="2700" w:type="dxa"/>
          </w:tcPr>
          <w:p w14:paraId="4D7CCEA3" w14:textId="77777777" w:rsidR="001C4B38" w:rsidRP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An object or thing used by the characters to add authenticity to the play. </w:t>
            </w:r>
          </w:p>
        </w:tc>
        <w:tc>
          <w:tcPr>
            <w:tcW w:w="3240" w:type="dxa"/>
          </w:tcPr>
          <w:p w14:paraId="5A470F1A" w14:textId="77777777" w:rsid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1. </w:t>
            </w:r>
            <w:r w:rsidR="00757D77">
              <w:rPr>
                <w:rFonts w:ascii="Garamond" w:hAnsi="Garamond"/>
                <w:b/>
                <w:sz w:val="22"/>
                <w:szCs w:val="22"/>
              </w:rPr>
              <w:t xml:space="preserve"> Car—Les’s car started by itself (Serling p 670) </w:t>
            </w:r>
          </w:p>
          <w:p w14:paraId="731B4E98" w14:textId="26D150FD" w:rsidR="00197095" w:rsidRDefault="00197095" w:rsidP="0019709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“[glass of milk in hand…]”</w:t>
            </w:r>
          </w:p>
          <w:p w14:paraId="79A31F4B" w14:textId="77777777" w:rsidR="00197095" w:rsidRDefault="00197095" w:rsidP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1F466AD" w14:textId="77777777" w:rsidR="00197095" w:rsidRDefault="00197095" w:rsidP="0019709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Mrs. Goodman gives Mr. Goodman a glass of milk as they are spied on by the neighbors. (Serling 845)</w:t>
            </w:r>
          </w:p>
          <w:p w14:paraId="1813BA04" w14:textId="77777777" w:rsidR="00197095" w:rsidRDefault="00197095" w:rsidP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7D3E3A7" w14:textId="77777777" w:rsidR="00197095" w:rsidRPr="001C4B38" w:rsidRDefault="00197095" w:rsidP="0019709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3. “[Don Martin joins them, carrying a shot gun.]” (Serling 851)</w:t>
            </w:r>
          </w:p>
          <w:p w14:paraId="48102598" w14:textId="2D95E7E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20" w:type="dxa"/>
          </w:tcPr>
          <w:p w14:paraId="34FE9C17" w14:textId="471CD326" w:rsidR="006C6C29" w:rsidRPr="001C4B38" w:rsidRDefault="006C6C29" w:rsidP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4AAEE4C" w14:textId="77777777" w:rsidR="001C4B38" w:rsidRP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C84D038" w14:textId="77777777" w:rsidR="001C4B38" w:rsidRP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C4B38" w:rsidRPr="001C4B38" w14:paraId="378AEA64" w14:textId="77777777" w:rsidTr="001C4B38">
        <w:trPr>
          <w:trHeight w:val="437"/>
        </w:trPr>
        <w:tc>
          <w:tcPr>
            <w:tcW w:w="1908" w:type="dxa"/>
          </w:tcPr>
          <w:p w14:paraId="7DF00F0C" w14:textId="77777777" w:rsidR="001C4B38" w:rsidRP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Lighting</w:t>
            </w:r>
          </w:p>
        </w:tc>
        <w:tc>
          <w:tcPr>
            <w:tcW w:w="2700" w:type="dxa"/>
          </w:tcPr>
          <w:p w14:paraId="7D7E4CBF" w14:textId="77777777" w:rsidR="001C4B38" w:rsidRP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The effects of light on a stage or set of a play. </w:t>
            </w:r>
          </w:p>
        </w:tc>
        <w:tc>
          <w:tcPr>
            <w:tcW w:w="3240" w:type="dxa"/>
          </w:tcPr>
          <w:p w14:paraId="47DAE681" w14:textId="77777777" w:rsid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1. </w:t>
            </w:r>
            <w:r w:rsidR="00757D7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6C6C29">
              <w:rPr>
                <w:rFonts w:ascii="Garamond" w:hAnsi="Garamond"/>
                <w:b/>
                <w:sz w:val="22"/>
                <w:szCs w:val="22"/>
              </w:rPr>
              <w:t>“</w:t>
            </w:r>
            <w:r w:rsidR="00757D77">
              <w:rPr>
                <w:rFonts w:ascii="Garamond" w:hAnsi="Garamond"/>
                <w:b/>
                <w:sz w:val="22"/>
                <w:szCs w:val="22"/>
              </w:rPr>
              <w:t>[The roar of a flash of light…]</w:t>
            </w:r>
            <w:r w:rsidR="006C6C29">
              <w:rPr>
                <w:rFonts w:ascii="Garamond" w:hAnsi="Garamond"/>
                <w:b/>
                <w:sz w:val="22"/>
                <w:szCs w:val="22"/>
              </w:rPr>
              <w:t>”</w:t>
            </w:r>
            <w:r w:rsidR="00757D77">
              <w:rPr>
                <w:rFonts w:ascii="Garamond" w:hAnsi="Garamond"/>
                <w:b/>
                <w:sz w:val="22"/>
                <w:szCs w:val="22"/>
              </w:rPr>
              <w:t xml:space="preserve"> referring to the “meteor” or whatever disturbed the evening on Maple St. (Serling 836) </w:t>
            </w:r>
          </w:p>
          <w:p w14:paraId="33C9B4E9" w14:textId="77777777" w:rsidR="00197095" w:rsidRDefault="00197095" w:rsidP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2. </w:t>
            </w:r>
            <w:r>
              <w:rPr>
                <w:rFonts w:ascii="Garamond" w:hAnsi="Garamond"/>
                <w:b/>
                <w:sz w:val="22"/>
                <w:szCs w:val="22"/>
              </w:rPr>
              <w:t>“How come you are the only one with lights now?”</w:t>
            </w:r>
          </w:p>
          <w:p w14:paraId="5C2E2483" w14:textId="77777777" w:rsidR="00197095" w:rsidRPr="001C4B38" w:rsidRDefault="00197095" w:rsidP="0019709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Charlie’s lights flick on while everyone else’s lights stay out. (Serling 851) </w:t>
            </w:r>
          </w:p>
          <w:p w14:paraId="713B9592" w14:textId="77777777" w:rsidR="00197095" w:rsidRPr="001C4B38" w:rsidRDefault="00197095" w:rsidP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5E5F608" w14:textId="77777777" w:rsidR="00197095" w:rsidRPr="001C4B38" w:rsidRDefault="00197095" w:rsidP="0019709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3. “What was that?  A meteor?” (Serling 836)</w:t>
            </w:r>
          </w:p>
          <w:p w14:paraId="7153324C" w14:textId="5FF71A51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20" w:type="dxa"/>
          </w:tcPr>
          <w:p w14:paraId="57CB911D" w14:textId="77777777" w:rsidR="001C4B38" w:rsidRPr="001C4B38" w:rsidRDefault="001C4B3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97095" w:rsidRPr="001C4B38" w14:paraId="55AB3349" w14:textId="77777777" w:rsidTr="001C4B38">
        <w:trPr>
          <w:trHeight w:val="437"/>
        </w:trPr>
        <w:tc>
          <w:tcPr>
            <w:tcW w:w="1908" w:type="dxa"/>
          </w:tcPr>
          <w:p w14:paraId="0A0B8A6A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7C9A878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E510AFE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61F6E71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EDCB96C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74EC489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Direct Characterization</w:t>
            </w:r>
          </w:p>
        </w:tc>
        <w:tc>
          <w:tcPr>
            <w:tcW w:w="2700" w:type="dxa"/>
          </w:tcPr>
          <w:p w14:paraId="44C22BF1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81C8FDE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AC83741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DFC78E6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9B709EA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3D69D2D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When the author directly states the traits or features of a character. </w:t>
            </w:r>
          </w:p>
        </w:tc>
        <w:tc>
          <w:tcPr>
            <w:tcW w:w="3240" w:type="dxa"/>
          </w:tcPr>
          <w:p w14:paraId="654D1B7E" w14:textId="77777777" w:rsidR="00197095" w:rsidRDefault="00197095" w:rsidP="009276FF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80AA652" w14:textId="77777777" w:rsidR="00197095" w:rsidRDefault="00197095" w:rsidP="009276FF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B9B5934" w14:textId="77777777" w:rsidR="00197095" w:rsidRDefault="00197095" w:rsidP="009276FF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1B9E952" w14:textId="77777777" w:rsidR="00197095" w:rsidRPr="001C4B38" w:rsidRDefault="00197095" w:rsidP="009276FF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A5D9B4C" w14:textId="77777777" w:rsidR="00197095" w:rsidRPr="00757D77" w:rsidRDefault="00197095" w:rsidP="0019709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757D77">
              <w:rPr>
                <w:rFonts w:ascii="Garamond" w:hAnsi="Garamond"/>
                <w:b/>
                <w:sz w:val="22"/>
                <w:szCs w:val="22"/>
              </w:rPr>
              <w:lastRenderedPageBreak/>
              <w:t>“I am guilty of insomnia…”</w:t>
            </w:r>
          </w:p>
          <w:p w14:paraId="241BA0E8" w14:textId="77777777" w:rsidR="00197095" w:rsidRDefault="00197095" w:rsidP="0019709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Mr. Goodman is defending himself against the “crowd’s” suspicions.  (Serling 825)</w:t>
            </w:r>
          </w:p>
          <w:p w14:paraId="52F8A624" w14:textId="77777777" w:rsidR="00197095" w:rsidRDefault="00197095" w:rsidP="0019709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-Goodman has trouble sleeping</w:t>
            </w:r>
          </w:p>
          <w:p w14:paraId="0D227ED4" w14:textId="3206423C" w:rsidR="00197095" w:rsidRPr="00197095" w:rsidRDefault="00197095" w:rsidP="0019709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2. </w:t>
            </w:r>
            <w:r w:rsidRPr="00197095">
              <w:rPr>
                <w:rFonts w:ascii="Garamond" w:hAnsi="Garamond"/>
                <w:b/>
                <w:sz w:val="22"/>
                <w:szCs w:val="22"/>
              </w:rPr>
              <w:t>“…. A serious-faced 14-year old in spectacles…” (Serling 670)</w:t>
            </w:r>
          </w:p>
          <w:p w14:paraId="7F68520B" w14:textId="77777777" w:rsidR="00197095" w:rsidRPr="00197095" w:rsidRDefault="00197095" w:rsidP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97095">
              <w:rPr>
                <w:rFonts w:ascii="Garamond" w:hAnsi="Garamond"/>
                <w:b/>
                <w:sz w:val="22"/>
                <w:szCs w:val="22"/>
              </w:rPr>
              <w:t>Tommy wears glasses</w:t>
            </w:r>
          </w:p>
          <w:p w14:paraId="663EAA92" w14:textId="77777777" w:rsidR="00197095" w:rsidRPr="00757D77" w:rsidRDefault="00197095" w:rsidP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B58A648" w14:textId="6601920E" w:rsidR="00197095" w:rsidRPr="00757D77" w:rsidRDefault="00197095" w:rsidP="00757D77">
            <w:pPr>
              <w:pStyle w:val="ListParagrap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20" w:type="dxa"/>
          </w:tcPr>
          <w:p w14:paraId="014F2E2D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97095" w:rsidRPr="001C4B38" w14:paraId="116A9EC8" w14:textId="77777777" w:rsidTr="001C4B38">
        <w:trPr>
          <w:trHeight w:val="437"/>
        </w:trPr>
        <w:tc>
          <w:tcPr>
            <w:tcW w:w="1908" w:type="dxa"/>
          </w:tcPr>
          <w:p w14:paraId="23DB678A" w14:textId="4456F5C4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lastRenderedPageBreak/>
              <w:t>Indirect Characterization</w:t>
            </w:r>
          </w:p>
        </w:tc>
        <w:tc>
          <w:tcPr>
            <w:tcW w:w="2700" w:type="dxa"/>
          </w:tcPr>
          <w:p w14:paraId="331FED47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When the author gives hints that allow readers to infer character traits. </w:t>
            </w:r>
          </w:p>
        </w:tc>
        <w:tc>
          <w:tcPr>
            <w:tcW w:w="3240" w:type="dxa"/>
          </w:tcPr>
          <w:p w14:paraId="2870CA3F" w14:textId="77777777" w:rsidR="00197095" w:rsidRPr="001C4B38" w:rsidRDefault="00197095" w:rsidP="009276FF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0C197DA" w14:textId="77777777" w:rsidR="00197095" w:rsidRPr="00180AAE" w:rsidRDefault="00197095" w:rsidP="0019709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180AAE">
              <w:rPr>
                <w:rFonts w:ascii="Garamond" w:hAnsi="Garamond"/>
                <w:b/>
                <w:sz w:val="22"/>
                <w:szCs w:val="22"/>
              </w:rPr>
              <w:t>“[Tommy stares at them, biting his lip,] then says ‘Mr. Brand, please don’t leave.’” (Serling 671)</w:t>
            </w:r>
          </w:p>
          <w:p w14:paraId="1DEB2FA2" w14:textId="77777777" w:rsidR="00197095" w:rsidRDefault="00197095" w:rsidP="0019709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Shows that Tommy is nervous and believes something bad is going to happen.  He is genuine in his concern.  </w:t>
            </w:r>
          </w:p>
          <w:p w14:paraId="6ADE95F5" w14:textId="5A24AD01" w:rsidR="00197095" w:rsidRPr="00180AAE" w:rsidRDefault="00197095" w:rsidP="00180AA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20" w:type="dxa"/>
          </w:tcPr>
          <w:p w14:paraId="3D2B6C89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5EF8914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97095" w:rsidRPr="001C4B38" w14:paraId="0877CC8D" w14:textId="77777777" w:rsidTr="001C4B38">
        <w:trPr>
          <w:trHeight w:val="437"/>
        </w:trPr>
        <w:tc>
          <w:tcPr>
            <w:tcW w:w="1908" w:type="dxa"/>
          </w:tcPr>
          <w:p w14:paraId="425A2251" w14:textId="78DE05EF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Protagonist</w:t>
            </w:r>
          </w:p>
        </w:tc>
        <w:tc>
          <w:tcPr>
            <w:tcW w:w="2700" w:type="dxa"/>
          </w:tcPr>
          <w:p w14:paraId="16E35818" w14:textId="77777777" w:rsidR="00197095" w:rsidRPr="001C4B38" w:rsidRDefault="00197095" w:rsidP="001C4B3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The leading character of a drama that drives the action of the narrative by trying to achieve a particular goal. </w:t>
            </w:r>
          </w:p>
        </w:tc>
        <w:tc>
          <w:tcPr>
            <w:tcW w:w="3240" w:type="dxa"/>
          </w:tcPr>
          <w:p w14:paraId="2AB73BF4" w14:textId="77777777" w:rsidR="00197095" w:rsidRPr="001C4B38" w:rsidRDefault="00197095" w:rsidP="001C4B3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Identify the protagonist</w:t>
            </w:r>
          </w:p>
        </w:tc>
        <w:tc>
          <w:tcPr>
            <w:tcW w:w="3320" w:type="dxa"/>
          </w:tcPr>
          <w:p w14:paraId="5283D210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Explain how he/she/it drives the action toward a goal. </w:t>
            </w:r>
          </w:p>
          <w:p w14:paraId="261E8229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B742A45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2868EEE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F260FA8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233A003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18E4FDC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B9A6A50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DED4C2A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38FBD94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C6893D5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2FC2DA5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F6FCF8E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F7A78C4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97095" w:rsidRPr="001C4B38" w14:paraId="10978E50" w14:textId="77777777" w:rsidTr="001C4B38">
        <w:trPr>
          <w:trHeight w:val="437"/>
        </w:trPr>
        <w:tc>
          <w:tcPr>
            <w:tcW w:w="1908" w:type="dxa"/>
          </w:tcPr>
          <w:p w14:paraId="76EEEC6D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Antagonist</w:t>
            </w:r>
          </w:p>
        </w:tc>
        <w:tc>
          <w:tcPr>
            <w:tcW w:w="2700" w:type="dxa"/>
          </w:tcPr>
          <w:p w14:paraId="46F0FC12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The character or force in conflict with the protagonist. The antagonist blocks the protagonist from his/her/its goal. </w:t>
            </w:r>
          </w:p>
        </w:tc>
        <w:tc>
          <w:tcPr>
            <w:tcW w:w="3240" w:type="dxa"/>
          </w:tcPr>
          <w:p w14:paraId="26031CBA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Identify the antagonist. </w:t>
            </w:r>
          </w:p>
        </w:tc>
        <w:tc>
          <w:tcPr>
            <w:tcW w:w="3320" w:type="dxa"/>
          </w:tcPr>
          <w:p w14:paraId="6071CB68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Explain how he/she/it blocks the protagonist from a goal. </w:t>
            </w:r>
          </w:p>
          <w:p w14:paraId="08954BB2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285A941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CBB084B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E39EB60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F07C2AD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7C449FB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056E193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0189182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992D82F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17C4024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6B58058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C096C95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97095" w:rsidRPr="001C4B38" w14:paraId="7E4C1CE0" w14:textId="77777777" w:rsidTr="001C4B38">
        <w:trPr>
          <w:trHeight w:val="437"/>
        </w:trPr>
        <w:tc>
          <w:tcPr>
            <w:tcW w:w="1908" w:type="dxa"/>
          </w:tcPr>
          <w:p w14:paraId="50ED6B0E" w14:textId="2D105D8B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F30CD34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E3D2AEB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BA449D9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8B1C075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33ADF23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Central Conflict</w:t>
            </w:r>
          </w:p>
          <w:p w14:paraId="448F1B2E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11288E8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F1AF3E9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80C245C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4DBBADC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C9C50CE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3D4C23C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42C31A4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E79431C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Minor Conflict</w:t>
            </w:r>
          </w:p>
          <w:p w14:paraId="67E16533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CF44F36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38FA3DB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88DEF36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13B420B" w14:textId="77777777" w:rsidR="00AD0842" w:rsidRPr="001C4B38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26310BF1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2A3E24F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42DCEA9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C5DFAB2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C673537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81EBE9E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The main conflict in a work of literature. </w:t>
            </w:r>
          </w:p>
          <w:p w14:paraId="1E835844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FDDEA44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F710A11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E9C266F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77B5EB2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2EC9B7F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A161FE5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3EF1530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Other conflicts going on while the main storyline is building</w:t>
            </w:r>
          </w:p>
          <w:p w14:paraId="5F1D32C2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E3118B6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C8DEEF6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9617590" w14:textId="3B2FCD98" w:rsidR="00AD0842" w:rsidRPr="001C4B38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6E713B72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90274A9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E422EC4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C08F7F6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F1D5B47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C151C20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Identify the central conflict. </w:t>
            </w:r>
          </w:p>
          <w:p w14:paraId="40E4B96A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1A9DD6B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CA01768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4AEB9D5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E1C2466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8AD5F5B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E2FFB1A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1C0F481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AE7FFCA" w14:textId="7270CD74" w:rsidR="00AD0842" w:rsidRPr="001C4B38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List a few minor conflicts that you notice</w:t>
            </w:r>
          </w:p>
        </w:tc>
        <w:tc>
          <w:tcPr>
            <w:tcW w:w="3320" w:type="dxa"/>
          </w:tcPr>
          <w:p w14:paraId="34439480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FA4C6F2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F710098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D30700D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647A2B3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14CA035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Explain the central conflict in your own words. </w:t>
            </w:r>
          </w:p>
          <w:p w14:paraId="13AAD119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C86DE1D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D03EBDC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A7C0AFF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3BEBBB1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7335416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72DA137" w14:textId="77777777" w:rsidR="00AD0842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C8E90EC" w14:textId="445A94B0" w:rsidR="00AD0842" w:rsidRPr="001C4B38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Is each conflict internal or external? </w:t>
            </w:r>
          </w:p>
          <w:p w14:paraId="1B245645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C0E52A8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C85DCB6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670F841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6F089B0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4DF07FE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B427A0E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05162AC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D43366D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68BDA8D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97095" w:rsidRPr="001C4B38" w14:paraId="1E8B1706" w14:textId="77777777" w:rsidTr="001C4B38">
        <w:trPr>
          <w:trHeight w:val="437"/>
        </w:trPr>
        <w:tc>
          <w:tcPr>
            <w:tcW w:w="1908" w:type="dxa"/>
          </w:tcPr>
          <w:p w14:paraId="48FCAC6B" w14:textId="760CAB86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External Conflict</w:t>
            </w:r>
          </w:p>
        </w:tc>
        <w:tc>
          <w:tcPr>
            <w:tcW w:w="2700" w:type="dxa"/>
          </w:tcPr>
          <w:p w14:paraId="206F6635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A struggle with an external force outside of a character.  </w:t>
            </w:r>
          </w:p>
        </w:tc>
        <w:tc>
          <w:tcPr>
            <w:tcW w:w="3240" w:type="dxa"/>
          </w:tcPr>
          <w:p w14:paraId="6CB0B0DB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Identify an external conflict. </w:t>
            </w:r>
          </w:p>
        </w:tc>
        <w:tc>
          <w:tcPr>
            <w:tcW w:w="3320" w:type="dxa"/>
          </w:tcPr>
          <w:p w14:paraId="517DA4D6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Explain how you know it is external. </w:t>
            </w:r>
          </w:p>
          <w:p w14:paraId="5C299981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2F2DC0E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9F0D807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79C87AB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B0D802A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FFAAB52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97095" w:rsidRPr="001C4B38" w14:paraId="188B3A82" w14:textId="77777777" w:rsidTr="001C4B38">
        <w:trPr>
          <w:trHeight w:val="437"/>
        </w:trPr>
        <w:tc>
          <w:tcPr>
            <w:tcW w:w="1908" w:type="dxa"/>
          </w:tcPr>
          <w:p w14:paraId="4866FDEB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Internal Conflict</w:t>
            </w:r>
          </w:p>
        </w:tc>
        <w:tc>
          <w:tcPr>
            <w:tcW w:w="2700" w:type="dxa"/>
          </w:tcPr>
          <w:p w14:paraId="3227FABC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A struggle within a character. </w:t>
            </w:r>
          </w:p>
        </w:tc>
        <w:tc>
          <w:tcPr>
            <w:tcW w:w="3240" w:type="dxa"/>
          </w:tcPr>
          <w:p w14:paraId="42CADA62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Identify an internal conflict. </w:t>
            </w:r>
          </w:p>
        </w:tc>
        <w:tc>
          <w:tcPr>
            <w:tcW w:w="3320" w:type="dxa"/>
          </w:tcPr>
          <w:p w14:paraId="7B28C481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Explain how you know it is internal. </w:t>
            </w:r>
          </w:p>
          <w:p w14:paraId="66078012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8C93271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5399028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C5C3449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84EA1A0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B9B2714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A370DB3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9E1050B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97095" w:rsidRPr="001C4B38" w14:paraId="20641C9D" w14:textId="77777777" w:rsidTr="001C4B38">
        <w:trPr>
          <w:trHeight w:val="437"/>
        </w:trPr>
        <w:tc>
          <w:tcPr>
            <w:tcW w:w="1908" w:type="dxa"/>
          </w:tcPr>
          <w:p w14:paraId="305059F4" w14:textId="4D1540ED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Minor</w:t>
            </w:r>
            <w:r>
              <w:rPr>
                <w:rFonts w:ascii="Garamond" w:hAnsi="Garamond"/>
                <w:b/>
                <w:sz w:val="22"/>
                <w:szCs w:val="22"/>
              </w:rPr>
              <w:t>/Incidental</w:t>
            </w: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 Character</w:t>
            </w:r>
          </w:p>
        </w:tc>
        <w:tc>
          <w:tcPr>
            <w:tcW w:w="2700" w:type="dxa"/>
          </w:tcPr>
          <w:p w14:paraId="1597BF7C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A character represented but not in a leading role. </w:t>
            </w:r>
          </w:p>
        </w:tc>
        <w:tc>
          <w:tcPr>
            <w:tcW w:w="3240" w:type="dxa"/>
          </w:tcPr>
          <w:p w14:paraId="7999A35A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Identify a minor character</w:t>
            </w:r>
          </w:p>
        </w:tc>
        <w:tc>
          <w:tcPr>
            <w:tcW w:w="3320" w:type="dxa"/>
          </w:tcPr>
          <w:p w14:paraId="161CB373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What is this minor character’s role in the plot? </w:t>
            </w:r>
          </w:p>
          <w:p w14:paraId="661D1113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424FEFE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BBA4236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38AD6EE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97095" w:rsidRPr="001C4B38" w14:paraId="33EEBFBC" w14:textId="77777777" w:rsidTr="001C4B38">
        <w:trPr>
          <w:trHeight w:val="437"/>
        </w:trPr>
        <w:tc>
          <w:tcPr>
            <w:tcW w:w="1908" w:type="dxa"/>
          </w:tcPr>
          <w:p w14:paraId="3BAA76B2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Rising Action</w:t>
            </w:r>
          </w:p>
          <w:p w14:paraId="15986555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or</w:t>
            </w:r>
          </w:p>
          <w:p w14:paraId="1274191E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Complications</w:t>
            </w:r>
          </w:p>
        </w:tc>
        <w:tc>
          <w:tcPr>
            <w:tcW w:w="2700" w:type="dxa"/>
          </w:tcPr>
          <w:p w14:paraId="0AF43FF6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Events that complicate the conflict and build the action of the plot to the climax. </w:t>
            </w:r>
          </w:p>
        </w:tc>
        <w:tc>
          <w:tcPr>
            <w:tcW w:w="3240" w:type="dxa"/>
          </w:tcPr>
          <w:p w14:paraId="57466C59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Name 1 event that acts as a complication. </w:t>
            </w:r>
          </w:p>
        </w:tc>
        <w:tc>
          <w:tcPr>
            <w:tcW w:w="3320" w:type="dxa"/>
          </w:tcPr>
          <w:p w14:paraId="43B78413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Name another event that acts as a complication. </w:t>
            </w:r>
          </w:p>
          <w:p w14:paraId="72529C66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646EA8A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9A0A924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385B155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AF0C8E5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257C9D0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CE61B7D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2B945AE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8B2F1AF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97095" w:rsidRPr="001C4B38" w14:paraId="6AC4D134" w14:textId="77777777" w:rsidTr="001C4B38">
        <w:trPr>
          <w:trHeight w:val="437"/>
        </w:trPr>
        <w:tc>
          <w:tcPr>
            <w:tcW w:w="1908" w:type="dxa"/>
          </w:tcPr>
          <w:p w14:paraId="693E5E1F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Climax</w:t>
            </w:r>
          </w:p>
        </w:tc>
        <w:tc>
          <w:tcPr>
            <w:tcW w:w="2700" w:type="dxa"/>
          </w:tcPr>
          <w:p w14:paraId="18ADA866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The turning point of a story where the nature of the conflict changes or takes a turn. </w:t>
            </w:r>
          </w:p>
        </w:tc>
        <w:tc>
          <w:tcPr>
            <w:tcW w:w="3240" w:type="dxa"/>
          </w:tcPr>
          <w:p w14:paraId="5922226D" w14:textId="115EFCFA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Identify the climax</w:t>
            </w:r>
            <w:r>
              <w:rPr>
                <w:rFonts w:ascii="Garamond" w:hAnsi="Garamond"/>
                <w:b/>
                <w:sz w:val="22"/>
                <w:szCs w:val="22"/>
              </w:rPr>
              <w:t>/turning point</w:t>
            </w: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 of the story. </w:t>
            </w:r>
          </w:p>
        </w:tc>
        <w:tc>
          <w:tcPr>
            <w:tcW w:w="3320" w:type="dxa"/>
          </w:tcPr>
          <w:p w14:paraId="0D8F937B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Explain how this event acts as a turning point. </w:t>
            </w:r>
          </w:p>
          <w:p w14:paraId="58198E07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76A9328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E9C65F4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1004E94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3D3773C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E4CCF70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3BED381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97095" w:rsidRPr="001C4B38" w14:paraId="246569D3" w14:textId="77777777" w:rsidTr="00197095">
        <w:trPr>
          <w:trHeight w:val="440"/>
        </w:trPr>
        <w:tc>
          <w:tcPr>
            <w:tcW w:w="1908" w:type="dxa"/>
          </w:tcPr>
          <w:p w14:paraId="1B9AB3D3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Character Motivation</w:t>
            </w:r>
          </w:p>
        </w:tc>
        <w:tc>
          <w:tcPr>
            <w:tcW w:w="2700" w:type="dxa"/>
          </w:tcPr>
          <w:p w14:paraId="18F169EA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The reason characters behave in a certain way. </w:t>
            </w:r>
          </w:p>
        </w:tc>
        <w:tc>
          <w:tcPr>
            <w:tcW w:w="3240" w:type="dxa"/>
          </w:tcPr>
          <w:p w14:paraId="0078FBB2" w14:textId="77777777" w:rsidR="00197095" w:rsidRPr="00197095" w:rsidRDefault="0019709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197095">
              <w:rPr>
                <w:rFonts w:ascii="Garamond" w:hAnsi="Garamond"/>
                <w:b/>
                <w:sz w:val="16"/>
                <w:szCs w:val="16"/>
              </w:rPr>
              <w:t xml:space="preserve">Choose a character behavior and explain what his/her motivation is behind that behavior in the box to the right.  </w:t>
            </w:r>
          </w:p>
        </w:tc>
        <w:tc>
          <w:tcPr>
            <w:tcW w:w="3320" w:type="dxa"/>
          </w:tcPr>
          <w:p w14:paraId="3C5C8C4B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57EEEAA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196D7C2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2E00BD1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831F856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010E9E9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3EA8B5B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5ACCE84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17B5B2B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97095" w:rsidRPr="001C4B38" w14:paraId="20DD5524" w14:textId="77777777" w:rsidTr="001C4B38">
        <w:trPr>
          <w:trHeight w:val="437"/>
        </w:trPr>
        <w:tc>
          <w:tcPr>
            <w:tcW w:w="1908" w:type="dxa"/>
          </w:tcPr>
          <w:p w14:paraId="61997807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Figurative Language</w:t>
            </w:r>
          </w:p>
        </w:tc>
        <w:tc>
          <w:tcPr>
            <w:tcW w:w="2700" w:type="dxa"/>
          </w:tcPr>
          <w:p w14:paraId="579E7D1B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Any metaphors, similes, hyperbole, or imagery used within the text. </w:t>
            </w:r>
          </w:p>
        </w:tc>
        <w:tc>
          <w:tcPr>
            <w:tcW w:w="3240" w:type="dxa"/>
          </w:tcPr>
          <w:p w14:paraId="76326978" w14:textId="6206ED71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>Example</w:t>
            </w:r>
            <w:r w:rsidR="00AD0842">
              <w:rPr>
                <w:rFonts w:ascii="Garamond" w:hAnsi="Garamond"/>
                <w:b/>
                <w:sz w:val="22"/>
                <w:szCs w:val="22"/>
              </w:rPr>
              <w:t>s</w:t>
            </w: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 of F. L. </w:t>
            </w:r>
          </w:p>
        </w:tc>
        <w:tc>
          <w:tcPr>
            <w:tcW w:w="3320" w:type="dxa"/>
          </w:tcPr>
          <w:p w14:paraId="070519AF" w14:textId="63FA267E" w:rsidR="00197095" w:rsidRPr="001C4B38" w:rsidRDefault="00AD084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Type of F.L. you have identified &amp; author’s purpose for using it</w:t>
            </w:r>
            <w:bookmarkStart w:id="0" w:name="_GoBack"/>
            <w:bookmarkEnd w:id="0"/>
          </w:p>
          <w:p w14:paraId="69B6F011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A249D6F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9B87C52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5863D31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9E64DC0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341AD7E" w14:textId="77777777" w:rsidR="00197095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9A9A672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C633E01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64E76FE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B37C4D1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58657E6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DE6E173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D64033F" w14:textId="77777777" w:rsidR="00197095" w:rsidRPr="001C4B38" w:rsidRDefault="0019709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4B3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</w:tbl>
    <w:p w14:paraId="661803F8" w14:textId="77777777" w:rsidR="007C0C6F" w:rsidRPr="001C4B38" w:rsidRDefault="007C0C6F">
      <w:pPr>
        <w:rPr>
          <w:rFonts w:ascii="Garamond" w:hAnsi="Garamond"/>
          <w:sz w:val="22"/>
          <w:szCs w:val="22"/>
        </w:rPr>
      </w:pPr>
    </w:p>
    <w:sectPr w:rsidR="007C0C6F" w:rsidRPr="001C4B38" w:rsidSect="001C4B38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C9975" w14:textId="77777777" w:rsidR="00904625" w:rsidRDefault="00904625" w:rsidP="0007112D">
      <w:r>
        <w:separator/>
      </w:r>
    </w:p>
  </w:endnote>
  <w:endnote w:type="continuationSeparator" w:id="0">
    <w:p w14:paraId="666D67E7" w14:textId="77777777" w:rsidR="00904625" w:rsidRDefault="00904625" w:rsidP="0007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D3842" w14:textId="77777777" w:rsidR="00904625" w:rsidRDefault="00904625" w:rsidP="00071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40328" w14:textId="77777777" w:rsidR="00904625" w:rsidRDefault="00904625" w:rsidP="0007112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6FC46" w14:textId="77777777" w:rsidR="00904625" w:rsidRDefault="00904625" w:rsidP="00071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8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88CE10" w14:textId="77777777" w:rsidR="00904625" w:rsidRDefault="00904625" w:rsidP="000711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D1C48" w14:textId="77777777" w:rsidR="00904625" w:rsidRDefault="00904625" w:rsidP="0007112D">
      <w:r>
        <w:separator/>
      </w:r>
    </w:p>
  </w:footnote>
  <w:footnote w:type="continuationSeparator" w:id="0">
    <w:p w14:paraId="3215978F" w14:textId="77777777" w:rsidR="00904625" w:rsidRDefault="00904625" w:rsidP="0007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7F1"/>
    <w:multiLevelType w:val="hybridMultilevel"/>
    <w:tmpl w:val="0890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2130"/>
    <w:multiLevelType w:val="hybridMultilevel"/>
    <w:tmpl w:val="8E9C6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FD1"/>
    <w:multiLevelType w:val="hybridMultilevel"/>
    <w:tmpl w:val="C5E45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F118E"/>
    <w:multiLevelType w:val="hybridMultilevel"/>
    <w:tmpl w:val="130AD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38"/>
    <w:rsid w:val="00023A8E"/>
    <w:rsid w:val="0007112D"/>
    <w:rsid w:val="00180AAE"/>
    <w:rsid w:val="00197095"/>
    <w:rsid w:val="001C4B38"/>
    <w:rsid w:val="00491F39"/>
    <w:rsid w:val="004B443B"/>
    <w:rsid w:val="004D7CC8"/>
    <w:rsid w:val="006C6C29"/>
    <w:rsid w:val="00757D77"/>
    <w:rsid w:val="007C0C6F"/>
    <w:rsid w:val="00864B7D"/>
    <w:rsid w:val="008D0CDC"/>
    <w:rsid w:val="00904625"/>
    <w:rsid w:val="00973CD3"/>
    <w:rsid w:val="00A57DEF"/>
    <w:rsid w:val="00AD0842"/>
    <w:rsid w:val="00BC06C7"/>
    <w:rsid w:val="00BC7E9D"/>
    <w:rsid w:val="00CE20C7"/>
    <w:rsid w:val="00CF27FF"/>
    <w:rsid w:val="00DA0FC7"/>
    <w:rsid w:val="00FD6B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D88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711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12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112D"/>
  </w:style>
  <w:style w:type="paragraph" w:styleId="ListParagraph">
    <w:name w:val="List Paragraph"/>
    <w:basedOn w:val="Normal"/>
    <w:uiPriority w:val="34"/>
    <w:qFormat/>
    <w:rsid w:val="00757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711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12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112D"/>
  </w:style>
  <w:style w:type="paragraph" w:styleId="ListParagraph">
    <w:name w:val="List Paragraph"/>
    <w:basedOn w:val="Normal"/>
    <w:uiPriority w:val="34"/>
    <w:qFormat/>
    <w:rsid w:val="0075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626</Words>
  <Characters>3573</Characters>
  <Application>Microsoft Macintosh Word</Application>
  <DocSecurity>0</DocSecurity>
  <Lines>29</Lines>
  <Paragraphs>8</Paragraphs>
  <ScaleCrop>false</ScaleCrop>
  <Company>Penn-Trafford School District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Matis</dc:creator>
  <cp:keywords/>
  <dc:description/>
  <cp:lastModifiedBy>Brandy Lockwood</cp:lastModifiedBy>
  <cp:revision>3</cp:revision>
  <cp:lastPrinted>2014-11-12T18:21:00Z</cp:lastPrinted>
  <dcterms:created xsi:type="dcterms:W3CDTF">2016-12-09T02:33:00Z</dcterms:created>
  <dcterms:modified xsi:type="dcterms:W3CDTF">2016-12-09T12:29:00Z</dcterms:modified>
</cp:coreProperties>
</file>